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1C7D" w14:textId="77777777" w:rsidR="00202E2C" w:rsidRPr="00202E2C" w:rsidRDefault="00202E2C" w:rsidP="00202E2C">
      <w:pPr>
        <w:jc w:val="both"/>
        <w:rPr>
          <w:b/>
        </w:rPr>
      </w:pPr>
      <w:r w:rsidRPr="00202E2C">
        <w:rPr>
          <w:b/>
        </w:rPr>
        <w:t>W poniższej tabeli są zawarte dopuszczalne poziomy hałasu w środowisku powodowanego przez poszczególne grupy źródeł hałasu (z wyłączeniem hałasu powodowanego przez starty, lądowania i przeloty statków powietrznych oraz linie elektroenergetyczne)   wyrażone wskaźnikami L</w:t>
      </w:r>
      <w:r w:rsidRPr="00202E2C">
        <w:rPr>
          <w:b/>
          <w:vertAlign w:val="subscript"/>
        </w:rPr>
        <w:t>DWN</w:t>
      </w:r>
      <w:r w:rsidRPr="00202E2C">
        <w:rPr>
          <w:b/>
        </w:rPr>
        <w:t xml:space="preserve"> i L</w:t>
      </w:r>
      <w:r w:rsidRPr="00202E2C">
        <w:rPr>
          <w:b/>
          <w:vertAlign w:val="subscript"/>
        </w:rPr>
        <w:t>N</w:t>
      </w:r>
      <w:r w:rsidRPr="00202E2C">
        <w:rPr>
          <w:b/>
        </w:rPr>
        <w:t>, które to wskaźniki mają zastosowanie do prowadzenia długookresowej polityki w zakresie ochrony przed hałasem:</w:t>
      </w:r>
    </w:p>
    <w:p w14:paraId="7D52D8FF" w14:textId="59EDDDA6" w:rsidR="00202E2C" w:rsidRDefault="00202E2C" w:rsidP="00202E2C">
      <w:r w:rsidRPr="00B7084C">
        <w:t> </w:t>
      </w:r>
    </w:p>
    <w:p w14:paraId="155D0578" w14:textId="77777777" w:rsidR="00202E2C" w:rsidRPr="00B7084C" w:rsidRDefault="00202E2C" w:rsidP="00202E2C"/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2"/>
        <w:gridCol w:w="2760"/>
        <w:gridCol w:w="1402"/>
        <w:gridCol w:w="1455"/>
        <w:gridCol w:w="1499"/>
        <w:gridCol w:w="1414"/>
      </w:tblGrid>
      <w:tr w:rsidR="00202E2C" w:rsidRPr="00B7084C" w14:paraId="7ECB0007" w14:textId="77777777" w:rsidTr="002A485B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14:paraId="6E5BBCEC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 w:rsidRPr="00B7084C">
              <w:rPr>
                <w:b/>
                <w:sz w:val="20"/>
                <w:szCs w:val="20"/>
              </w:rPr>
              <w:t>Lp.</w:t>
            </w:r>
          </w:p>
          <w:p w14:paraId="506BA78A" w14:textId="77777777" w:rsidR="00202E2C" w:rsidRPr="00B7084C" w:rsidRDefault="00202E2C" w:rsidP="002A485B">
            <w:pPr>
              <w:rPr>
                <w:b/>
                <w:sz w:val="20"/>
                <w:szCs w:val="20"/>
              </w:rPr>
            </w:pPr>
            <w:r w:rsidRPr="00B7084C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542" w:type="pct"/>
            <w:vMerge w:val="restart"/>
            <w:vAlign w:val="center"/>
          </w:tcPr>
          <w:p w14:paraId="4D073212" w14:textId="77777777" w:rsidR="00202E2C" w:rsidRPr="00B7084C" w:rsidRDefault="00202E2C" w:rsidP="002A485B">
            <w:pPr>
              <w:jc w:val="center"/>
              <w:rPr>
                <w:sz w:val="20"/>
                <w:szCs w:val="20"/>
              </w:rPr>
            </w:pPr>
            <w:r w:rsidRPr="00B7084C">
              <w:rPr>
                <w:sz w:val="20"/>
                <w:szCs w:val="20"/>
              </w:rPr>
              <w:t>Rodzaj terenu</w:t>
            </w:r>
          </w:p>
          <w:p w14:paraId="2818CDAF" w14:textId="77777777" w:rsidR="00202E2C" w:rsidRPr="00B7084C" w:rsidRDefault="00202E2C" w:rsidP="002A485B">
            <w:pPr>
              <w:rPr>
                <w:sz w:val="20"/>
                <w:szCs w:val="20"/>
              </w:rPr>
            </w:pPr>
            <w:r w:rsidRPr="00B7084C">
              <w:rPr>
                <w:sz w:val="20"/>
                <w:szCs w:val="20"/>
              </w:rPr>
              <w:t>  </w:t>
            </w:r>
          </w:p>
        </w:tc>
        <w:tc>
          <w:tcPr>
            <w:tcW w:w="3183" w:type="pct"/>
            <w:gridSpan w:val="4"/>
            <w:vAlign w:val="center"/>
          </w:tcPr>
          <w:p w14:paraId="5A9770B0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 w:rsidRPr="00B7084C">
              <w:rPr>
                <w:b/>
                <w:sz w:val="20"/>
                <w:szCs w:val="20"/>
              </w:rPr>
              <w:t xml:space="preserve">Dopuszczalny długookresowy średni poziom dźwięku A w </w:t>
            </w:r>
            <w:proofErr w:type="spellStart"/>
            <w:r w:rsidRPr="00B7084C">
              <w:rPr>
                <w:b/>
                <w:sz w:val="20"/>
                <w:szCs w:val="20"/>
              </w:rPr>
              <w:t>dB</w:t>
            </w:r>
            <w:proofErr w:type="spellEnd"/>
          </w:p>
        </w:tc>
      </w:tr>
      <w:tr w:rsidR="00202E2C" w:rsidRPr="00B7084C" w14:paraId="311C3565" w14:textId="77777777" w:rsidTr="002A485B">
        <w:trPr>
          <w:tblCellSpacing w:w="15" w:type="dxa"/>
        </w:trPr>
        <w:tc>
          <w:tcPr>
            <w:tcW w:w="0" w:type="auto"/>
            <w:vMerge/>
            <w:vAlign w:val="center"/>
          </w:tcPr>
          <w:p w14:paraId="4CCD028E" w14:textId="77777777" w:rsidR="00202E2C" w:rsidRPr="00B7084C" w:rsidRDefault="00202E2C" w:rsidP="002A485B">
            <w:pPr>
              <w:rPr>
                <w:b/>
                <w:sz w:val="20"/>
                <w:szCs w:val="20"/>
              </w:rPr>
            </w:pPr>
          </w:p>
        </w:tc>
        <w:tc>
          <w:tcPr>
            <w:tcW w:w="1542" w:type="pct"/>
            <w:vMerge/>
            <w:vAlign w:val="center"/>
          </w:tcPr>
          <w:p w14:paraId="6FE7DEB8" w14:textId="77777777" w:rsidR="00202E2C" w:rsidRPr="00B7084C" w:rsidRDefault="00202E2C" w:rsidP="002A485B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gridSpan w:val="2"/>
            <w:vAlign w:val="center"/>
          </w:tcPr>
          <w:p w14:paraId="2D583095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 w:rsidRPr="00B7084C">
              <w:rPr>
                <w:b/>
                <w:sz w:val="20"/>
                <w:szCs w:val="20"/>
              </w:rPr>
              <w:t>Drogi lub linie kolejowe</w:t>
            </w:r>
            <w:r w:rsidRPr="00B7084C">
              <w:rPr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586" w:type="pct"/>
            <w:gridSpan w:val="2"/>
            <w:vAlign w:val="center"/>
          </w:tcPr>
          <w:p w14:paraId="2B4C81CC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 w:rsidRPr="00B7084C">
              <w:rPr>
                <w:b/>
                <w:sz w:val="20"/>
                <w:szCs w:val="20"/>
              </w:rPr>
              <w:t>Pozostałe obiekty i działalność będąca źródłem hałasu</w:t>
            </w:r>
          </w:p>
        </w:tc>
      </w:tr>
      <w:tr w:rsidR="00202E2C" w:rsidRPr="00B7084C" w14:paraId="0CE47E05" w14:textId="77777777" w:rsidTr="002A485B">
        <w:trPr>
          <w:tblCellSpacing w:w="15" w:type="dxa"/>
        </w:trPr>
        <w:tc>
          <w:tcPr>
            <w:tcW w:w="0" w:type="auto"/>
            <w:vMerge/>
            <w:vAlign w:val="center"/>
          </w:tcPr>
          <w:p w14:paraId="223925B5" w14:textId="77777777" w:rsidR="00202E2C" w:rsidRPr="00B7084C" w:rsidRDefault="00202E2C" w:rsidP="002A485B">
            <w:pPr>
              <w:rPr>
                <w:b/>
                <w:sz w:val="20"/>
                <w:szCs w:val="20"/>
              </w:rPr>
            </w:pPr>
          </w:p>
        </w:tc>
        <w:tc>
          <w:tcPr>
            <w:tcW w:w="1542" w:type="pct"/>
            <w:vMerge/>
            <w:vAlign w:val="center"/>
          </w:tcPr>
          <w:p w14:paraId="05684535" w14:textId="77777777" w:rsidR="00202E2C" w:rsidRPr="00B7084C" w:rsidRDefault="00202E2C" w:rsidP="002A485B">
            <w:pPr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center"/>
          </w:tcPr>
          <w:p w14:paraId="0C33BB6D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 w:rsidRPr="00B7084C">
              <w:rPr>
                <w:b/>
                <w:bCs/>
                <w:sz w:val="20"/>
                <w:szCs w:val="20"/>
              </w:rPr>
              <w:t>L</w:t>
            </w:r>
            <w:r w:rsidRPr="00B7084C">
              <w:rPr>
                <w:b/>
                <w:bCs/>
                <w:sz w:val="20"/>
                <w:szCs w:val="20"/>
                <w:vertAlign w:val="subscript"/>
              </w:rPr>
              <w:t>DWN</w:t>
            </w:r>
          </w:p>
          <w:p w14:paraId="37AA0EC7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 w:rsidRPr="00B7084C">
              <w:rPr>
                <w:b/>
                <w:sz w:val="20"/>
                <w:szCs w:val="20"/>
              </w:rPr>
              <w:t>przedział czasu odniesienia</w:t>
            </w:r>
          </w:p>
          <w:p w14:paraId="1205BB64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 w:rsidRPr="00B7084C">
              <w:rPr>
                <w:b/>
                <w:sz w:val="20"/>
                <w:szCs w:val="20"/>
              </w:rPr>
              <w:t>równy wszystkim dobom w roku</w:t>
            </w:r>
          </w:p>
        </w:tc>
        <w:tc>
          <w:tcPr>
            <w:tcW w:w="789" w:type="pct"/>
            <w:vAlign w:val="center"/>
          </w:tcPr>
          <w:p w14:paraId="00F2AFAB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 w:rsidRPr="00B7084C">
              <w:rPr>
                <w:b/>
                <w:bCs/>
                <w:sz w:val="20"/>
                <w:szCs w:val="20"/>
              </w:rPr>
              <w:t>L</w:t>
            </w:r>
            <w:r w:rsidRPr="00B7084C">
              <w:rPr>
                <w:b/>
                <w:bCs/>
                <w:sz w:val="20"/>
                <w:szCs w:val="20"/>
                <w:vertAlign w:val="subscript"/>
              </w:rPr>
              <w:t>N</w:t>
            </w:r>
          </w:p>
          <w:p w14:paraId="7949D968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 w:rsidRPr="00B7084C">
              <w:rPr>
                <w:b/>
                <w:sz w:val="20"/>
                <w:szCs w:val="20"/>
              </w:rPr>
              <w:t>przedział czasu odniesienia</w:t>
            </w:r>
          </w:p>
          <w:p w14:paraId="21266405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 w:rsidRPr="00B7084C">
              <w:rPr>
                <w:b/>
                <w:sz w:val="20"/>
                <w:szCs w:val="20"/>
              </w:rPr>
              <w:t>równy wszystkim porom nocy</w:t>
            </w:r>
          </w:p>
        </w:tc>
        <w:tc>
          <w:tcPr>
            <w:tcW w:w="830" w:type="pct"/>
            <w:vAlign w:val="center"/>
          </w:tcPr>
          <w:p w14:paraId="58D7CEC9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 w:rsidRPr="00B7084C">
              <w:rPr>
                <w:b/>
                <w:bCs/>
                <w:sz w:val="20"/>
                <w:szCs w:val="20"/>
              </w:rPr>
              <w:t>L</w:t>
            </w:r>
            <w:r w:rsidRPr="00B7084C">
              <w:rPr>
                <w:b/>
                <w:bCs/>
                <w:sz w:val="20"/>
                <w:szCs w:val="20"/>
                <w:vertAlign w:val="subscript"/>
              </w:rPr>
              <w:t>DWN</w:t>
            </w:r>
          </w:p>
          <w:p w14:paraId="6A24CCFC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 w:rsidRPr="00B7084C">
              <w:rPr>
                <w:b/>
                <w:sz w:val="20"/>
                <w:szCs w:val="20"/>
              </w:rPr>
              <w:t>przedział czasu odniesienia</w:t>
            </w:r>
          </w:p>
          <w:p w14:paraId="20D8C2D4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 w:rsidRPr="00B7084C">
              <w:rPr>
                <w:b/>
                <w:sz w:val="20"/>
                <w:szCs w:val="20"/>
              </w:rPr>
              <w:t>równy wszystkim dobom w roku</w:t>
            </w:r>
          </w:p>
        </w:tc>
        <w:tc>
          <w:tcPr>
            <w:tcW w:w="741" w:type="pct"/>
            <w:vAlign w:val="center"/>
          </w:tcPr>
          <w:p w14:paraId="36B70C58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 w:rsidRPr="00B7084C">
              <w:rPr>
                <w:b/>
                <w:bCs/>
                <w:sz w:val="20"/>
                <w:szCs w:val="20"/>
              </w:rPr>
              <w:t>L</w:t>
            </w:r>
            <w:r w:rsidRPr="00B7084C">
              <w:rPr>
                <w:b/>
                <w:bCs/>
                <w:sz w:val="20"/>
                <w:szCs w:val="20"/>
                <w:vertAlign w:val="subscript"/>
              </w:rPr>
              <w:t>N</w:t>
            </w:r>
          </w:p>
          <w:p w14:paraId="276150D4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 w:rsidRPr="00B7084C">
              <w:rPr>
                <w:b/>
                <w:sz w:val="20"/>
                <w:szCs w:val="20"/>
              </w:rPr>
              <w:t>przedział czasu odniesienia</w:t>
            </w:r>
          </w:p>
          <w:p w14:paraId="5B66AC15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 w:rsidRPr="00B7084C">
              <w:rPr>
                <w:b/>
                <w:sz w:val="20"/>
                <w:szCs w:val="20"/>
              </w:rPr>
              <w:t>równy wszystkim porom nocy</w:t>
            </w:r>
          </w:p>
        </w:tc>
      </w:tr>
      <w:tr w:rsidR="00202E2C" w:rsidRPr="00B7084C" w14:paraId="0644803A" w14:textId="77777777" w:rsidTr="002A485B">
        <w:trPr>
          <w:tblCellSpacing w:w="15" w:type="dxa"/>
        </w:trPr>
        <w:tc>
          <w:tcPr>
            <w:tcW w:w="0" w:type="auto"/>
            <w:vAlign w:val="center"/>
          </w:tcPr>
          <w:p w14:paraId="34C337DF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 w:rsidRPr="00B7084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42" w:type="pct"/>
            <w:vAlign w:val="center"/>
          </w:tcPr>
          <w:p w14:paraId="40432660" w14:textId="77777777" w:rsidR="00202E2C" w:rsidRPr="00B7084C" w:rsidRDefault="00202E2C" w:rsidP="002A485B">
            <w:pPr>
              <w:rPr>
                <w:sz w:val="20"/>
                <w:szCs w:val="20"/>
              </w:rPr>
            </w:pPr>
            <w:r w:rsidRPr="00B7084C">
              <w:rPr>
                <w:sz w:val="20"/>
                <w:szCs w:val="20"/>
              </w:rPr>
              <w:t>a) Strefa ochronna "A" uzdrowiska</w:t>
            </w:r>
          </w:p>
          <w:p w14:paraId="6B240BD6" w14:textId="77777777" w:rsidR="00202E2C" w:rsidRPr="00B7084C" w:rsidRDefault="00202E2C" w:rsidP="002A485B">
            <w:pPr>
              <w:rPr>
                <w:sz w:val="20"/>
                <w:szCs w:val="20"/>
              </w:rPr>
            </w:pPr>
            <w:r w:rsidRPr="00B7084C">
              <w:rPr>
                <w:sz w:val="20"/>
                <w:szCs w:val="20"/>
              </w:rPr>
              <w:t>b) Tereny szpitali poza miastem</w:t>
            </w:r>
          </w:p>
        </w:tc>
        <w:tc>
          <w:tcPr>
            <w:tcW w:w="775" w:type="pct"/>
            <w:vAlign w:val="center"/>
          </w:tcPr>
          <w:p w14:paraId="60E6FE36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 w:rsidRPr="00B7084C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89" w:type="pct"/>
            <w:vAlign w:val="center"/>
          </w:tcPr>
          <w:p w14:paraId="18B345FF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 w:rsidRPr="00B7084C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30" w:type="pct"/>
            <w:vAlign w:val="center"/>
          </w:tcPr>
          <w:p w14:paraId="3090FC16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 w:rsidRPr="00B7084C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41" w:type="pct"/>
            <w:vAlign w:val="center"/>
          </w:tcPr>
          <w:p w14:paraId="4523B787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 w:rsidRPr="00B7084C"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202E2C" w:rsidRPr="00B7084C" w14:paraId="7E9A2A3F" w14:textId="77777777" w:rsidTr="002A485B">
        <w:trPr>
          <w:tblCellSpacing w:w="15" w:type="dxa"/>
        </w:trPr>
        <w:tc>
          <w:tcPr>
            <w:tcW w:w="0" w:type="auto"/>
            <w:vAlign w:val="center"/>
          </w:tcPr>
          <w:p w14:paraId="0CF7DDCE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 w:rsidRPr="00B7084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42" w:type="pct"/>
            <w:vAlign w:val="center"/>
          </w:tcPr>
          <w:p w14:paraId="1C04EC2C" w14:textId="77777777" w:rsidR="00202E2C" w:rsidRPr="00B7084C" w:rsidRDefault="00202E2C" w:rsidP="002A485B">
            <w:pPr>
              <w:rPr>
                <w:sz w:val="20"/>
                <w:szCs w:val="20"/>
              </w:rPr>
            </w:pPr>
            <w:r w:rsidRPr="00B7084C">
              <w:rPr>
                <w:sz w:val="20"/>
                <w:szCs w:val="20"/>
              </w:rPr>
              <w:t>a) Tereny zabudowy mieszkaniowej jednorodzinnej</w:t>
            </w:r>
          </w:p>
          <w:p w14:paraId="03E520A4" w14:textId="77777777" w:rsidR="00202E2C" w:rsidRPr="00B7084C" w:rsidRDefault="00202E2C" w:rsidP="002A485B">
            <w:pPr>
              <w:rPr>
                <w:sz w:val="20"/>
                <w:szCs w:val="20"/>
              </w:rPr>
            </w:pPr>
            <w:r w:rsidRPr="00B7084C">
              <w:rPr>
                <w:sz w:val="20"/>
                <w:szCs w:val="20"/>
              </w:rPr>
              <w:t>b) Tereny zabudowy związanej ze stałym lub czasowym pobytem dzieci i młodzieży</w:t>
            </w:r>
          </w:p>
          <w:p w14:paraId="0821E017" w14:textId="77777777" w:rsidR="00202E2C" w:rsidRPr="00B7084C" w:rsidRDefault="00202E2C" w:rsidP="002A485B">
            <w:pPr>
              <w:rPr>
                <w:sz w:val="20"/>
                <w:szCs w:val="20"/>
              </w:rPr>
            </w:pPr>
            <w:r w:rsidRPr="00B7084C">
              <w:rPr>
                <w:sz w:val="20"/>
                <w:szCs w:val="20"/>
              </w:rPr>
              <w:t>c) Tereny domów opieki społecznej</w:t>
            </w:r>
          </w:p>
          <w:p w14:paraId="169E81CA" w14:textId="77777777" w:rsidR="00202E2C" w:rsidRPr="00B7084C" w:rsidRDefault="00202E2C" w:rsidP="002A485B">
            <w:pPr>
              <w:rPr>
                <w:sz w:val="20"/>
                <w:szCs w:val="20"/>
              </w:rPr>
            </w:pPr>
            <w:r w:rsidRPr="00B7084C">
              <w:rPr>
                <w:sz w:val="20"/>
                <w:szCs w:val="20"/>
              </w:rPr>
              <w:t>d) Tereny szpitali w miastach</w:t>
            </w:r>
          </w:p>
        </w:tc>
        <w:tc>
          <w:tcPr>
            <w:tcW w:w="775" w:type="pct"/>
            <w:vAlign w:val="center"/>
          </w:tcPr>
          <w:p w14:paraId="59E5D508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789" w:type="pct"/>
            <w:vAlign w:val="center"/>
          </w:tcPr>
          <w:p w14:paraId="612A8C04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 w:rsidRPr="00B7084C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0" w:type="pct"/>
            <w:vAlign w:val="center"/>
          </w:tcPr>
          <w:p w14:paraId="384A55D0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 w:rsidRPr="00B7084C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41" w:type="pct"/>
            <w:vAlign w:val="center"/>
          </w:tcPr>
          <w:p w14:paraId="16CAD6AB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 w:rsidRPr="00B7084C"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202E2C" w:rsidRPr="00B7084C" w14:paraId="5D3BAFC4" w14:textId="77777777" w:rsidTr="002A485B">
        <w:trPr>
          <w:tblCellSpacing w:w="15" w:type="dxa"/>
        </w:trPr>
        <w:tc>
          <w:tcPr>
            <w:tcW w:w="0" w:type="auto"/>
            <w:vAlign w:val="center"/>
          </w:tcPr>
          <w:p w14:paraId="7B53A1B4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 w:rsidRPr="00B7084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42" w:type="pct"/>
            <w:vAlign w:val="center"/>
          </w:tcPr>
          <w:p w14:paraId="526F691B" w14:textId="77777777" w:rsidR="00202E2C" w:rsidRPr="00B7084C" w:rsidRDefault="00202E2C" w:rsidP="002A485B">
            <w:pPr>
              <w:rPr>
                <w:sz w:val="20"/>
                <w:szCs w:val="20"/>
              </w:rPr>
            </w:pPr>
            <w:r w:rsidRPr="00B7084C">
              <w:rPr>
                <w:sz w:val="20"/>
                <w:szCs w:val="20"/>
              </w:rPr>
              <w:t>a) Tereny zabudowy mieszkaniowej wielorodzinnej i zamieszkania zbiorowego</w:t>
            </w:r>
          </w:p>
          <w:p w14:paraId="17200E3F" w14:textId="77777777" w:rsidR="00202E2C" w:rsidRPr="00B7084C" w:rsidRDefault="00202E2C" w:rsidP="002A485B">
            <w:pPr>
              <w:rPr>
                <w:sz w:val="20"/>
                <w:szCs w:val="20"/>
              </w:rPr>
            </w:pPr>
            <w:r w:rsidRPr="00B7084C">
              <w:rPr>
                <w:sz w:val="20"/>
                <w:szCs w:val="20"/>
              </w:rPr>
              <w:t>b) Tereny zabudowy zagrodowej</w:t>
            </w:r>
          </w:p>
          <w:p w14:paraId="43CF4DC5" w14:textId="77777777" w:rsidR="00202E2C" w:rsidRPr="00B7084C" w:rsidRDefault="00202E2C" w:rsidP="002A485B">
            <w:pPr>
              <w:rPr>
                <w:sz w:val="20"/>
                <w:szCs w:val="20"/>
              </w:rPr>
            </w:pPr>
            <w:r w:rsidRPr="00B7084C">
              <w:rPr>
                <w:sz w:val="20"/>
                <w:szCs w:val="20"/>
              </w:rPr>
              <w:t>c) Tereny rekreacyjno-wypoczynkowe</w:t>
            </w:r>
          </w:p>
          <w:p w14:paraId="02E751F7" w14:textId="77777777" w:rsidR="00202E2C" w:rsidRPr="00B7084C" w:rsidRDefault="00202E2C" w:rsidP="002A485B">
            <w:pPr>
              <w:rPr>
                <w:sz w:val="20"/>
                <w:szCs w:val="20"/>
              </w:rPr>
            </w:pPr>
            <w:r w:rsidRPr="00B7084C">
              <w:rPr>
                <w:sz w:val="20"/>
                <w:szCs w:val="20"/>
              </w:rPr>
              <w:t>d) Tereny mieszkaniowo-usługowe</w:t>
            </w:r>
          </w:p>
        </w:tc>
        <w:tc>
          <w:tcPr>
            <w:tcW w:w="775" w:type="pct"/>
            <w:vAlign w:val="center"/>
          </w:tcPr>
          <w:p w14:paraId="7F402A92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 w:rsidRPr="00B7084C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9" w:type="pct"/>
            <w:vAlign w:val="center"/>
          </w:tcPr>
          <w:p w14:paraId="5BAE2BEF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 w:rsidRPr="00B7084C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0" w:type="pct"/>
            <w:vAlign w:val="center"/>
          </w:tcPr>
          <w:p w14:paraId="43D85B32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 w:rsidRPr="00B7084C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741" w:type="pct"/>
            <w:vAlign w:val="center"/>
          </w:tcPr>
          <w:p w14:paraId="5E2F722A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 w:rsidRPr="00B7084C"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202E2C" w:rsidRPr="00B7084C" w14:paraId="33748DD2" w14:textId="77777777" w:rsidTr="002A485B">
        <w:trPr>
          <w:tblCellSpacing w:w="15" w:type="dxa"/>
        </w:trPr>
        <w:tc>
          <w:tcPr>
            <w:tcW w:w="0" w:type="auto"/>
            <w:vAlign w:val="center"/>
          </w:tcPr>
          <w:p w14:paraId="55D2CB5E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 w:rsidRPr="00B7084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42" w:type="pct"/>
            <w:vAlign w:val="center"/>
          </w:tcPr>
          <w:p w14:paraId="12D0B4D6" w14:textId="77777777" w:rsidR="00202E2C" w:rsidRPr="00B7084C" w:rsidRDefault="00202E2C" w:rsidP="002A485B">
            <w:pPr>
              <w:rPr>
                <w:sz w:val="20"/>
                <w:szCs w:val="20"/>
              </w:rPr>
            </w:pPr>
            <w:r w:rsidRPr="00B7084C">
              <w:rPr>
                <w:sz w:val="20"/>
                <w:szCs w:val="20"/>
              </w:rPr>
              <w:t>Tereny w strefie śródmiejskiej miast powyżej 100 tys. mieszkańców</w:t>
            </w:r>
            <w:r w:rsidRPr="00B7084C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775" w:type="pct"/>
            <w:vAlign w:val="center"/>
          </w:tcPr>
          <w:p w14:paraId="6BB6277E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89" w:type="pct"/>
            <w:vAlign w:val="center"/>
          </w:tcPr>
          <w:p w14:paraId="4615FDFD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B7084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0" w:type="pct"/>
            <w:vAlign w:val="center"/>
          </w:tcPr>
          <w:p w14:paraId="54BDBE6E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 w:rsidRPr="00B7084C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741" w:type="pct"/>
            <w:vAlign w:val="center"/>
          </w:tcPr>
          <w:p w14:paraId="0E3F74E8" w14:textId="77777777" w:rsidR="00202E2C" w:rsidRPr="00B7084C" w:rsidRDefault="00202E2C" w:rsidP="002A485B">
            <w:pPr>
              <w:jc w:val="center"/>
              <w:rPr>
                <w:b/>
                <w:sz w:val="20"/>
                <w:szCs w:val="20"/>
              </w:rPr>
            </w:pPr>
            <w:r w:rsidRPr="00B7084C">
              <w:rPr>
                <w:b/>
                <w:bCs/>
                <w:sz w:val="20"/>
                <w:szCs w:val="20"/>
              </w:rPr>
              <w:t>45</w:t>
            </w:r>
          </w:p>
        </w:tc>
      </w:tr>
    </w:tbl>
    <w:p w14:paraId="252FE99C" w14:textId="77777777" w:rsidR="00202E2C" w:rsidRDefault="00202E2C" w:rsidP="00202E2C"/>
    <w:p w14:paraId="19718B35" w14:textId="33502889" w:rsidR="00202E2C" w:rsidRPr="00B7084C" w:rsidRDefault="00202E2C" w:rsidP="00202E2C">
      <w:r w:rsidRPr="00B7084C">
        <w:t>Objaśnienia do tabeli:</w:t>
      </w:r>
    </w:p>
    <w:p w14:paraId="33F62288" w14:textId="77777777" w:rsidR="00202E2C" w:rsidRPr="00B7084C" w:rsidRDefault="00202E2C" w:rsidP="00202E2C">
      <w:pPr>
        <w:jc w:val="both"/>
      </w:pPr>
      <w:r w:rsidRPr="00B7084C">
        <w:rPr>
          <w:vertAlign w:val="superscript"/>
        </w:rPr>
        <w:t xml:space="preserve">1) </w:t>
      </w:r>
      <w:r w:rsidRPr="00B7084C">
        <w:t>Wartości określone dla dróg i linii kolejowych stosuje się także dla torowisk tramwajowych poza pasem drogowym i kolei linowych.</w:t>
      </w:r>
    </w:p>
    <w:p w14:paraId="049790AE" w14:textId="77777777" w:rsidR="00202E2C" w:rsidRPr="00B7084C" w:rsidRDefault="00202E2C" w:rsidP="00202E2C">
      <w:pPr>
        <w:jc w:val="both"/>
      </w:pPr>
      <w:r w:rsidRPr="00B7084C">
        <w:rPr>
          <w:vertAlign w:val="superscript"/>
        </w:rPr>
        <w:t xml:space="preserve">2) </w:t>
      </w:r>
      <w:r w:rsidRPr="00B7084C">
        <w:t>Strefa śródmiejska miast powyżej 100 tys. mieszkańców to teren zwartej zabudowy mieszkaniowej z koncentracją obiektów administracyjnych, handlowych i usługowych. W przypadku miast, w których występują dzielnice o liczbie mieszkańców pow. 100 tys., można wyznaczyć w tych dzielnicach strefę śródmiejską, jeżeli charakteryzuje się ona zwartą zabudową mieszkaniową z koncentracją obiektów administracyjnych, handlowych i usługowych.</w:t>
      </w:r>
    </w:p>
    <w:p w14:paraId="45960B73" w14:textId="77777777" w:rsidR="00202E2C" w:rsidRPr="00B7084C" w:rsidRDefault="00202E2C" w:rsidP="00202E2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B7084C">
        <w:rPr>
          <w:rFonts w:ascii="TimesNewRomanPSMT" w:hAnsi="TimesNewRomanPSMT" w:cs="TimesNewRomanPSMT"/>
        </w:rPr>
        <w:t>1) wskaźniki hałasu mające zastosowanie do prowadzenia długookresowej polityki w zakresie ochrony środowiska przed hałasem, w szczególności do sporządzania map akustycznych, o których mowa w art. 118 ust. 1, oraz programów ochrony środowiska przed hałasem, o których mowa w art. 119 ust.1:</w:t>
      </w:r>
    </w:p>
    <w:p w14:paraId="28420303" w14:textId="77777777" w:rsidR="00202E2C" w:rsidRPr="00B7084C" w:rsidRDefault="00202E2C" w:rsidP="00202E2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B7084C">
        <w:rPr>
          <w:rFonts w:ascii="TimesNewRomanPSMT" w:hAnsi="TimesNewRomanPSMT" w:cs="TimesNewRomanPSMT"/>
        </w:rPr>
        <w:lastRenderedPageBreak/>
        <w:t>a) L</w:t>
      </w:r>
      <w:r w:rsidRPr="00B7084C">
        <w:rPr>
          <w:rFonts w:ascii="TimesNewRomanPSMT" w:hAnsi="TimesNewRomanPSMT" w:cs="TimesNewRomanPSMT"/>
          <w:vertAlign w:val="subscript"/>
        </w:rPr>
        <w:t>DWN</w:t>
      </w:r>
      <w:r w:rsidRPr="00B7084C">
        <w:rPr>
          <w:rFonts w:ascii="TimesNewRomanPSMT" w:hAnsi="TimesNewRomanPSMT" w:cs="TimesNewRomanPSMT"/>
        </w:rPr>
        <w:t xml:space="preserve"> – długookresowy średni poziom dźwięku A wyrażony w decybelach (</w:t>
      </w:r>
      <w:proofErr w:type="spellStart"/>
      <w:r w:rsidRPr="00B7084C">
        <w:rPr>
          <w:rFonts w:ascii="TimesNewRomanPSMT" w:hAnsi="TimesNewRomanPSMT" w:cs="TimesNewRomanPSMT"/>
        </w:rPr>
        <w:t>dB</w:t>
      </w:r>
      <w:proofErr w:type="spellEnd"/>
      <w:r w:rsidRPr="00B7084C">
        <w:rPr>
          <w:rFonts w:ascii="TimesNewRomanPSMT" w:hAnsi="TimesNewRomanPSMT" w:cs="TimesNewRomanPSMT"/>
        </w:rPr>
        <w:t>), wyznaczony w ciągu wszystkich dób w roku, z uwzględnieniem pory dnia (rozumianej jako przedział czasu od godz. 6</w:t>
      </w:r>
      <w:r w:rsidRPr="00B7084C">
        <w:rPr>
          <w:rFonts w:ascii="TimesNewRomanPSMT" w:hAnsi="TimesNewRomanPSMT" w:cs="TimesNewRomanPSMT"/>
          <w:vertAlign w:val="superscript"/>
        </w:rPr>
        <w:t>00</w:t>
      </w:r>
      <w:r w:rsidRPr="00B7084C">
        <w:rPr>
          <w:rFonts w:ascii="TimesNewRomanPSMT" w:hAnsi="TimesNewRomanPSMT" w:cs="TimesNewRomanPSMT"/>
        </w:rPr>
        <w:t xml:space="preserve"> do godz. 18</w:t>
      </w:r>
      <w:r w:rsidRPr="00B7084C">
        <w:rPr>
          <w:rFonts w:ascii="TimesNewRomanPSMT" w:hAnsi="TimesNewRomanPSMT" w:cs="TimesNewRomanPSMT"/>
          <w:vertAlign w:val="superscript"/>
        </w:rPr>
        <w:t>00</w:t>
      </w:r>
      <w:r w:rsidRPr="00B7084C">
        <w:rPr>
          <w:rFonts w:ascii="TimesNewRomanPSMT" w:hAnsi="TimesNewRomanPSMT" w:cs="TimesNewRomanPSMT"/>
        </w:rPr>
        <w:t>), pory wieczoru (rozumianej jako przedział czasu od godz. 18</w:t>
      </w:r>
      <w:r w:rsidRPr="00B7084C">
        <w:rPr>
          <w:rFonts w:ascii="TimesNewRomanPSMT" w:hAnsi="TimesNewRomanPSMT" w:cs="TimesNewRomanPSMT"/>
          <w:vertAlign w:val="superscript"/>
        </w:rPr>
        <w:t>00</w:t>
      </w:r>
      <w:r w:rsidRPr="00B7084C">
        <w:rPr>
          <w:rFonts w:ascii="TimesNewRomanPSMT" w:hAnsi="TimesNewRomanPSMT" w:cs="TimesNewRomanPSMT"/>
        </w:rPr>
        <w:t xml:space="preserve"> do</w:t>
      </w:r>
    </w:p>
    <w:p w14:paraId="077A4177" w14:textId="77777777" w:rsidR="00202E2C" w:rsidRPr="00B7084C" w:rsidRDefault="00202E2C" w:rsidP="00202E2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B7084C">
        <w:rPr>
          <w:rFonts w:ascii="TimesNewRomanPSMT" w:hAnsi="TimesNewRomanPSMT" w:cs="TimesNewRomanPSMT"/>
        </w:rPr>
        <w:t>godz. 22</w:t>
      </w:r>
      <w:r w:rsidRPr="00B7084C">
        <w:rPr>
          <w:rFonts w:ascii="TimesNewRomanPSMT" w:hAnsi="TimesNewRomanPSMT" w:cs="TimesNewRomanPSMT"/>
          <w:vertAlign w:val="superscript"/>
        </w:rPr>
        <w:t>00</w:t>
      </w:r>
      <w:r w:rsidRPr="00B7084C">
        <w:rPr>
          <w:rFonts w:ascii="TimesNewRomanPSMT" w:hAnsi="TimesNewRomanPSMT" w:cs="TimesNewRomanPSMT"/>
        </w:rPr>
        <w:t>) oraz pory nocy (rozumianej jako przedział czasu od godz. 22</w:t>
      </w:r>
      <w:r w:rsidRPr="00B7084C">
        <w:rPr>
          <w:rFonts w:ascii="TimesNewRomanPSMT" w:hAnsi="TimesNewRomanPSMT" w:cs="TimesNewRomanPSMT"/>
          <w:vertAlign w:val="superscript"/>
        </w:rPr>
        <w:t>00</w:t>
      </w:r>
      <w:r w:rsidRPr="00B7084C">
        <w:rPr>
          <w:rFonts w:ascii="TimesNewRomanPSMT" w:hAnsi="TimesNewRomanPSMT" w:cs="TimesNewRomanPSMT"/>
        </w:rPr>
        <w:t xml:space="preserve"> do godz. 6</w:t>
      </w:r>
      <w:r w:rsidRPr="00B7084C">
        <w:rPr>
          <w:rFonts w:ascii="TimesNewRomanPSMT" w:hAnsi="TimesNewRomanPSMT" w:cs="TimesNewRomanPSMT"/>
          <w:vertAlign w:val="superscript"/>
        </w:rPr>
        <w:t>00</w:t>
      </w:r>
      <w:r w:rsidRPr="00B7084C">
        <w:rPr>
          <w:rFonts w:ascii="TimesNewRomanPSMT" w:hAnsi="TimesNewRomanPSMT" w:cs="TimesNewRomanPSMT"/>
        </w:rPr>
        <w:t>),</w:t>
      </w:r>
    </w:p>
    <w:p w14:paraId="782E2E9F" w14:textId="77777777" w:rsidR="00202E2C" w:rsidRPr="00B7084C" w:rsidRDefault="00202E2C" w:rsidP="00202E2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B7084C">
        <w:rPr>
          <w:rFonts w:ascii="TimesNewRomanPSMT" w:hAnsi="TimesNewRomanPSMT" w:cs="TimesNewRomanPSMT"/>
        </w:rPr>
        <w:t>b) L</w:t>
      </w:r>
      <w:r w:rsidRPr="00B7084C">
        <w:rPr>
          <w:rFonts w:ascii="TimesNewRomanPSMT" w:hAnsi="TimesNewRomanPSMT" w:cs="TimesNewRomanPSMT"/>
          <w:vertAlign w:val="subscript"/>
        </w:rPr>
        <w:t>N</w:t>
      </w:r>
      <w:r w:rsidRPr="00B7084C">
        <w:rPr>
          <w:rFonts w:ascii="TimesNewRomanPSMT" w:hAnsi="TimesNewRomanPSMT" w:cs="TimesNewRomanPSMT"/>
        </w:rPr>
        <w:t xml:space="preserve"> – długookresowy średni poziom dźwięku A wyrażony w decybelach (</w:t>
      </w:r>
      <w:proofErr w:type="spellStart"/>
      <w:r w:rsidRPr="00B7084C">
        <w:rPr>
          <w:rFonts w:ascii="TimesNewRomanPSMT" w:hAnsi="TimesNewRomanPSMT" w:cs="TimesNewRomanPSMT"/>
        </w:rPr>
        <w:t>dB</w:t>
      </w:r>
      <w:proofErr w:type="spellEnd"/>
      <w:r w:rsidRPr="00B7084C">
        <w:rPr>
          <w:rFonts w:ascii="TimesNewRomanPSMT" w:hAnsi="TimesNewRomanPSMT" w:cs="TimesNewRomanPSMT"/>
        </w:rPr>
        <w:t>), wyznaczony w ciągu wszystkich pór nocy w roku (rozumianych jako przedział czasu od godz. 22</w:t>
      </w:r>
      <w:r w:rsidRPr="00B7084C">
        <w:rPr>
          <w:rFonts w:ascii="TimesNewRomanPSMT" w:hAnsi="TimesNewRomanPSMT" w:cs="TimesNewRomanPSMT"/>
          <w:vertAlign w:val="superscript"/>
        </w:rPr>
        <w:t>00</w:t>
      </w:r>
      <w:r w:rsidRPr="00B7084C">
        <w:rPr>
          <w:rFonts w:ascii="TimesNewRomanPSMT" w:hAnsi="TimesNewRomanPSMT" w:cs="TimesNewRomanPSMT"/>
        </w:rPr>
        <w:t xml:space="preserve"> do godz. 6</w:t>
      </w:r>
      <w:r w:rsidRPr="00B7084C">
        <w:rPr>
          <w:rFonts w:ascii="TimesNewRomanPSMT" w:hAnsi="TimesNewRomanPSMT" w:cs="TimesNewRomanPSMT"/>
          <w:vertAlign w:val="superscript"/>
        </w:rPr>
        <w:t>00</w:t>
      </w:r>
      <w:r w:rsidRPr="00B7084C">
        <w:rPr>
          <w:rFonts w:ascii="TimesNewRomanPSMT" w:hAnsi="TimesNewRomanPSMT" w:cs="TimesNewRomanPSMT"/>
        </w:rPr>
        <w:t>);</w:t>
      </w:r>
    </w:p>
    <w:p w14:paraId="1EBF730A" w14:textId="77777777" w:rsidR="00202E2C" w:rsidRPr="00B7084C" w:rsidRDefault="00202E2C" w:rsidP="00202E2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12C03CE4" w14:textId="79F57B33" w:rsidR="00DF691B" w:rsidRDefault="003164EF">
      <w:r>
        <w:t>/-/</w:t>
      </w:r>
    </w:p>
    <w:sectPr w:rsidR="00DF6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2C"/>
    <w:rsid w:val="00202E2C"/>
    <w:rsid w:val="003164EF"/>
    <w:rsid w:val="00D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C063"/>
  <w15:chartTrackingRefBased/>
  <w15:docId w15:val="{94620FF5-E194-4CB6-BE75-97FB0485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E2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Piotrowicz</dc:creator>
  <cp:keywords/>
  <dc:description/>
  <cp:lastModifiedBy>Paweł Piotrowicz</cp:lastModifiedBy>
  <cp:revision>1</cp:revision>
  <dcterms:created xsi:type="dcterms:W3CDTF">2023-02-22T10:37:00Z</dcterms:created>
  <dcterms:modified xsi:type="dcterms:W3CDTF">2023-02-22T11:40:00Z</dcterms:modified>
</cp:coreProperties>
</file>